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1B" w:rsidRDefault="002C407A" w:rsidP="0006451B">
      <w:pPr>
        <w:adjustRightInd w:val="0"/>
        <w:snapToGrid w:val="0"/>
        <w:spacing w:after="0" w:line="300" w:lineRule="auto"/>
        <w:ind w:firstLineChars="200" w:firstLine="721"/>
        <w:jc w:val="center"/>
        <w:rPr>
          <w:rFonts w:ascii="华文中宋" w:eastAsia="华文中宋" w:hAnsi="华文中宋" w:cs="仿宋" w:hint="default"/>
          <w:b/>
          <w:bCs/>
          <w:sz w:val="36"/>
          <w:szCs w:val="36"/>
          <w:lang w:eastAsia="zh-CN"/>
        </w:rPr>
      </w:pPr>
      <w:r w:rsidRPr="0006451B">
        <w:rPr>
          <w:rFonts w:ascii="华文中宋" w:eastAsia="华文中宋" w:hAnsi="华文中宋" w:cs="仿宋_GB2312"/>
          <w:b/>
          <w:bCs/>
          <w:sz w:val="36"/>
          <w:szCs w:val="36"/>
          <w:lang w:val="zh-TW" w:eastAsia="zh-TW"/>
        </w:rPr>
        <w:t>关于开展华东理工大学第</w:t>
      </w:r>
      <w:r w:rsidRPr="0006451B">
        <w:rPr>
          <w:rFonts w:ascii="华文中宋" w:eastAsia="华文中宋" w:hAnsi="华文中宋" w:cs="仿宋_GB2312"/>
          <w:b/>
          <w:bCs/>
          <w:sz w:val="36"/>
          <w:szCs w:val="36"/>
          <w:lang w:eastAsia="zh-CN"/>
        </w:rPr>
        <w:t>五</w:t>
      </w:r>
      <w:r w:rsidRPr="0006451B">
        <w:rPr>
          <w:rFonts w:ascii="华文中宋" w:eastAsia="华文中宋" w:hAnsi="华文中宋" w:cs="仿宋_GB2312"/>
          <w:b/>
          <w:bCs/>
          <w:sz w:val="36"/>
          <w:szCs w:val="36"/>
          <w:lang w:val="zh-TW" w:eastAsia="zh-TW"/>
        </w:rPr>
        <w:t>届</w:t>
      </w:r>
      <w:r w:rsidRPr="0006451B">
        <w:rPr>
          <w:rFonts w:ascii="华文中宋" w:eastAsia="华文中宋" w:hAnsi="华文中宋" w:cs="仿宋"/>
          <w:b/>
          <w:bCs/>
          <w:sz w:val="36"/>
          <w:szCs w:val="36"/>
          <w:lang w:eastAsia="zh-CN"/>
        </w:rPr>
        <w:t>“</w:t>
      </w:r>
      <w:r w:rsidRPr="0006451B">
        <w:rPr>
          <w:rFonts w:ascii="华文中宋" w:eastAsia="华文中宋" w:hAnsi="华文中宋" w:cs="仿宋_GB2312"/>
          <w:b/>
          <w:bCs/>
          <w:sz w:val="36"/>
          <w:szCs w:val="36"/>
          <w:lang w:val="zh-TW" w:eastAsia="zh-TW"/>
        </w:rPr>
        <w:t>良师益友</w:t>
      </w:r>
      <w:r w:rsidRPr="0006451B">
        <w:rPr>
          <w:rFonts w:ascii="华文中宋" w:eastAsia="华文中宋" w:hAnsi="华文中宋" w:cs="仿宋"/>
          <w:b/>
          <w:bCs/>
          <w:sz w:val="36"/>
          <w:szCs w:val="36"/>
          <w:lang w:eastAsia="zh-CN"/>
        </w:rPr>
        <w:t>”</w:t>
      </w:r>
    </w:p>
    <w:p w:rsidR="00815C65" w:rsidRPr="003907FD" w:rsidRDefault="002C407A" w:rsidP="0006451B">
      <w:pPr>
        <w:adjustRightInd w:val="0"/>
        <w:snapToGrid w:val="0"/>
        <w:spacing w:after="0" w:line="300" w:lineRule="auto"/>
        <w:ind w:firstLineChars="200" w:firstLine="721"/>
        <w:jc w:val="center"/>
        <w:rPr>
          <w:rFonts w:ascii="华文中宋" w:eastAsia="PMingLiU" w:hAnsi="华文中宋" w:cs="仿宋_GB2312" w:hint="default"/>
          <w:b/>
          <w:bCs/>
          <w:sz w:val="36"/>
          <w:szCs w:val="36"/>
          <w:lang w:eastAsia="zh-CN"/>
        </w:rPr>
      </w:pPr>
      <w:r w:rsidRPr="0006451B">
        <w:rPr>
          <w:rFonts w:ascii="华文中宋" w:eastAsia="华文中宋" w:hAnsi="华文中宋" w:cs="仿宋_GB2312"/>
          <w:b/>
          <w:bCs/>
          <w:sz w:val="36"/>
          <w:szCs w:val="36"/>
          <w:lang w:val="zh-TW" w:eastAsia="zh-TW"/>
        </w:rPr>
        <w:t>评选</w:t>
      </w:r>
      <w:r w:rsidR="002F2DA6" w:rsidRPr="0006451B">
        <w:rPr>
          <w:rFonts w:ascii="华文中宋" w:eastAsia="华文中宋" w:hAnsi="华文中宋" w:cs="仿宋_GB2312"/>
          <w:b/>
          <w:bCs/>
          <w:sz w:val="36"/>
          <w:szCs w:val="36"/>
          <w:lang w:val="zh-TW" w:eastAsia="zh-TW"/>
        </w:rPr>
        <w:t>活动的</w:t>
      </w:r>
      <w:r w:rsidRPr="0006451B">
        <w:rPr>
          <w:rFonts w:ascii="华文中宋" w:eastAsia="华文中宋" w:hAnsi="华文中宋" w:cs="仿宋_GB2312"/>
          <w:b/>
          <w:bCs/>
          <w:sz w:val="36"/>
          <w:szCs w:val="36"/>
          <w:lang w:val="zh-TW" w:eastAsia="zh-TW"/>
        </w:rPr>
        <w:t>通知</w:t>
      </w:r>
    </w:p>
    <w:p w:rsidR="00815C65" w:rsidRPr="00B36970" w:rsidRDefault="002C407A" w:rsidP="003907FD">
      <w:pPr>
        <w:adjustRightInd w:val="0"/>
        <w:snapToGrid w:val="0"/>
        <w:spacing w:beforeLines="100" w:before="240" w:after="0" w:line="360" w:lineRule="auto"/>
        <w:rPr>
          <w:rFonts w:ascii="黑体" w:eastAsia="黑体" w:hAnsi="黑体" w:cs="仿宋_GB2312" w:hint="default"/>
          <w:b/>
          <w:sz w:val="28"/>
          <w:szCs w:val="28"/>
          <w:lang w:val="zh-TW" w:eastAsia="zh-CN"/>
        </w:rPr>
      </w:pPr>
      <w:bookmarkStart w:id="0" w:name="OLE_LINK1"/>
      <w:r w:rsidRPr="00B36970">
        <w:rPr>
          <w:rFonts w:ascii="黑体" w:eastAsia="黑体" w:hAnsi="黑体" w:cs="仿宋_GB2312"/>
          <w:b/>
          <w:sz w:val="28"/>
          <w:szCs w:val="28"/>
          <w:lang w:val="zh-TW" w:eastAsia="zh-CN"/>
        </w:rPr>
        <w:t>全体</w:t>
      </w:r>
      <w:r w:rsidRPr="00B36970">
        <w:rPr>
          <w:rFonts w:ascii="黑体" w:eastAsia="黑体" w:hAnsi="黑体" w:cs="仿宋_GB2312"/>
          <w:b/>
          <w:sz w:val="28"/>
          <w:szCs w:val="28"/>
          <w:lang w:val="zh-TW" w:eastAsia="zh-TW"/>
        </w:rPr>
        <w:t>研究生</w:t>
      </w:r>
      <w:r w:rsidRPr="00B36970">
        <w:rPr>
          <w:rFonts w:ascii="黑体" w:eastAsia="黑体" w:hAnsi="黑体" w:cs="仿宋_GB2312"/>
          <w:b/>
          <w:sz w:val="28"/>
          <w:szCs w:val="28"/>
          <w:lang w:val="zh-TW" w:eastAsia="zh-CN"/>
        </w:rPr>
        <w:t>、</w:t>
      </w:r>
      <w:r w:rsidRPr="00B36970">
        <w:rPr>
          <w:rFonts w:ascii="黑体" w:eastAsia="黑体" w:hAnsi="黑体" w:cs="仿宋_GB2312" w:hint="default"/>
          <w:b/>
          <w:sz w:val="28"/>
          <w:szCs w:val="28"/>
          <w:lang w:val="zh-TW" w:eastAsia="zh-CN"/>
        </w:rPr>
        <w:t>各学院（所）</w:t>
      </w:r>
      <w:r w:rsidRPr="00B36970">
        <w:rPr>
          <w:rFonts w:ascii="黑体" w:eastAsia="黑体" w:hAnsi="黑体" w:cs="仿宋_GB2312"/>
          <w:b/>
          <w:sz w:val="28"/>
          <w:szCs w:val="28"/>
          <w:lang w:val="zh-TW" w:eastAsia="zh-CN"/>
        </w:rPr>
        <w:t>：</w:t>
      </w:r>
    </w:p>
    <w:p w:rsidR="00815C65" w:rsidRPr="006E73C7" w:rsidRDefault="006E73C7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Theme="minorEastAsia" w:hAnsi="仿宋_GB2312" w:cs="仿宋_GB2312" w:hint="default"/>
          <w:sz w:val="28"/>
          <w:szCs w:val="28"/>
          <w:lang w:val="zh-TW" w:eastAsia="zh-CN"/>
        </w:rPr>
      </w:pP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为</w:t>
      </w:r>
      <w:r w:rsidR="005A1FD4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深入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学习</w:t>
      </w:r>
      <w:r w:rsidR="00D16F7B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贯彻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习近平新时代中国特色社会主义思想和</w:t>
      </w:r>
      <w:r w:rsidR="00640C7B">
        <w:rPr>
          <w:rFonts w:ascii="仿宋_GB2312" w:eastAsia="仿宋_GB2312" w:hAnsi="仿宋_GB2312" w:cs="仿宋_GB2312"/>
          <w:sz w:val="28"/>
          <w:szCs w:val="28"/>
          <w:lang w:val="zh-TW" w:eastAsia="zh-CN"/>
        </w:rPr>
        <w:t>党的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十九大精神，</w:t>
      </w:r>
      <w:r w:rsidR="0057234A">
        <w:rPr>
          <w:rFonts w:ascii="仿宋_GB2312" w:eastAsia="仿宋_GB2312" w:hAnsi="仿宋_GB2312" w:cs="仿宋_GB2312"/>
          <w:sz w:val="28"/>
          <w:szCs w:val="28"/>
          <w:lang w:val="zh-TW" w:eastAsia="zh-CN"/>
        </w:rPr>
        <w:t>全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面落实</w:t>
      </w:r>
      <w:r w:rsidR="00D16F7B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全国教育大会和全国高校思想政治工作会议精神，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围绕立德树人根本任务，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进一步构建研究生和谐师生关系，倡导教学相长、师生相宜、团队共建、和谐发展的优良风气，</w:t>
      </w:r>
      <w:r w:rsidR="00D5754F" w:rsidRPr="006E73C7">
        <w:rPr>
          <w:rFonts w:ascii="仿宋_GB2312" w:eastAsia="仿宋_GB2312" w:hAnsi="仿宋_GB2312" w:cs="仿宋_GB2312"/>
          <w:sz w:val="28"/>
          <w:szCs w:val="28"/>
          <w:lang w:val="zh-TW" w:eastAsia="zh-CN"/>
        </w:rPr>
        <w:t>共筑师生</w:t>
      </w:r>
      <w:r w:rsidR="00D5754F" w:rsidRPr="006E73C7">
        <w:rPr>
          <w:rFonts w:ascii="仿宋_GB2312" w:eastAsia="仿宋_GB2312" w:hAnsi="仿宋_GB2312" w:cs="仿宋_GB2312" w:hint="default"/>
          <w:sz w:val="28"/>
          <w:szCs w:val="28"/>
          <w:lang w:val="zh-TW" w:eastAsia="zh-CN"/>
        </w:rPr>
        <w:t>之间的“</w:t>
      </w:r>
      <w:r w:rsidR="00D5754F" w:rsidRPr="006E73C7">
        <w:rPr>
          <w:rFonts w:ascii="仿宋_GB2312" w:eastAsia="仿宋_GB2312" w:hAnsi="仿宋_GB2312" w:cs="仿宋_GB2312"/>
          <w:sz w:val="28"/>
          <w:szCs w:val="28"/>
          <w:lang w:val="zh-TW" w:eastAsia="zh-CN"/>
        </w:rPr>
        <w:t>同心圆</w:t>
      </w:r>
      <w:r w:rsidR="00D5754F" w:rsidRPr="006E73C7">
        <w:rPr>
          <w:rFonts w:ascii="仿宋_GB2312" w:eastAsia="仿宋_GB2312" w:hAnsi="仿宋_GB2312" w:cs="仿宋_GB2312" w:hint="default"/>
          <w:sz w:val="28"/>
          <w:szCs w:val="28"/>
          <w:lang w:val="zh-TW" w:eastAsia="zh-CN"/>
        </w:rPr>
        <w:t>”</w:t>
      </w:r>
      <w:r w:rsidR="00FC7803" w:rsidRPr="006E73C7">
        <w:rPr>
          <w:rFonts w:ascii="仿宋_GB2312" w:eastAsia="仿宋_GB2312" w:hAnsi="仿宋_GB2312" w:cs="仿宋_GB2312"/>
          <w:sz w:val="28"/>
          <w:szCs w:val="28"/>
          <w:lang w:val="zh-TW" w:eastAsia="zh-CN"/>
        </w:rPr>
        <w:t>，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华东理工大学将开展第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eastAsia="zh-CN"/>
        </w:rPr>
        <w:t>五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届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研究生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“良师益友”评选活动。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val="zh-TW" w:eastAsia="zh-CN"/>
        </w:rPr>
        <w:t>本次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评选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eastAsia="zh-CN"/>
        </w:rPr>
        <w:t>分为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val="zh-TW" w:eastAsia="zh-CN"/>
        </w:rPr>
        <w:t>优秀导师评选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eastAsia="zh-CN"/>
        </w:rPr>
        <w:t>和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val="zh-TW" w:eastAsia="zh-CN"/>
        </w:rPr>
        <w:t>优秀导学团队评选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CN"/>
        </w:rPr>
        <w:t>两个方面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val="zh-TW" w:eastAsia="zh-CN"/>
        </w:rPr>
        <w:t>。现就活动开展的具体要求说明如下：</w:t>
      </w:r>
    </w:p>
    <w:p w:rsidR="00815C65" w:rsidRPr="006E73C7" w:rsidRDefault="002C407A" w:rsidP="003907FD">
      <w:pPr>
        <w:adjustRightInd w:val="0"/>
        <w:snapToGrid w:val="0"/>
        <w:spacing w:after="0" w:line="360" w:lineRule="auto"/>
        <w:ind w:firstLineChars="200" w:firstLine="562"/>
        <w:rPr>
          <w:rFonts w:ascii="黑体" w:eastAsia="黑体" w:hAnsi="黑体" w:cs="仿宋_GB2312" w:hint="default"/>
          <w:b/>
          <w:bCs/>
          <w:sz w:val="28"/>
          <w:szCs w:val="28"/>
          <w:lang w:val="zh-TW" w:eastAsia="zh-TW"/>
        </w:rPr>
      </w:pPr>
      <w:r w:rsidRPr="006E73C7">
        <w:rPr>
          <w:rFonts w:ascii="黑体" w:eastAsia="黑体" w:hAnsi="黑体" w:cs="仿宋_GB2312"/>
          <w:b/>
          <w:bCs/>
          <w:sz w:val="28"/>
          <w:szCs w:val="28"/>
          <w:lang w:val="zh-TW" w:eastAsia="zh-TW"/>
        </w:rPr>
        <w:t>一、活动主题</w:t>
      </w:r>
    </w:p>
    <w:p w:rsidR="00815C65" w:rsidRPr="006E73C7" w:rsidRDefault="002C407A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bookmarkStart w:id="1" w:name="OLE_LINK2"/>
      <w:bookmarkEnd w:id="0"/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以“</w:t>
      </w:r>
      <w:bookmarkStart w:id="2" w:name="OLE_LINK4"/>
      <w:bookmarkStart w:id="3" w:name="OLE_LINK5"/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高山仰止，青蓝互映</w:t>
      </w:r>
      <w:bookmarkEnd w:id="2"/>
      <w:bookmarkEnd w:id="3"/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”为主题，旨在展现“</w:t>
      </w:r>
      <w:bookmarkStart w:id="4" w:name="OLE_LINK3"/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师生亲爱，科研热爱，同学互爱，生活珍爱</w:t>
      </w:r>
      <w:bookmarkEnd w:id="4"/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”的浓浓师生情谊，</w:t>
      </w:r>
      <w:r w:rsidR="00E406D7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挖掘</w:t>
      </w:r>
      <w:r w:rsidR="00355229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“有理想信念、有道德情操、有扎实知识、有仁爱之心”的四有好老师，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展示优秀导师和优秀科研团队的卓越风采。</w:t>
      </w:r>
    </w:p>
    <w:bookmarkEnd w:id="1"/>
    <w:p w:rsidR="00815C65" w:rsidRPr="006E73C7" w:rsidRDefault="002C407A" w:rsidP="003907FD">
      <w:pPr>
        <w:adjustRightInd w:val="0"/>
        <w:snapToGrid w:val="0"/>
        <w:spacing w:after="0" w:line="360" w:lineRule="auto"/>
        <w:ind w:firstLineChars="200" w:firstLine="562"/>
        <w:rPr>
          <w:rFonts w:ascii="黑体" w:eastAsia="黑体" w:hAnsi="黑体" w:cs="仿宋_GB2312" w:hint="default"/>
          <w:b/>
          <w:bCs/>
          <w:sz w:val="28"/>
          <w:szCs w:val="28"/>
          <w:lang w:val="zh-TW" w:eastAsia="zh-TW"/>
        </w:rPr>
      </w:pPr>
      <w:r w:rsidRPr="006E73C7">
        <w:rPr>
          <w:rFonts w:ascii="黑体" w:eastAsia="黑体" w:hAnsi="黑体" w:cs="仿宋_GB2312"/>
          <w:b/>
          <w:bCs/>
          <w:sz w:val="28"/>
          <w:szCs w:val="28"/>
          <w:lang w:val="zh-TW" w:eastAsia="zh-TW"/>
        </w:rPr>
        <w:t>二、参与对象</w:t>
      </w:r>
    </w:p>
    <w:p w:rsidR="00815C65" w:rsidRPr="006E73C7" w:rsidRDefault="002C407A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华东理工大学全体</w:t>
      </w:r>
      <w:r w:rsidR="006E73C7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在编在岗的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研究生导师</w:t>
      </w:r>
      <w:r w:rsidR="006E73C7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科研团队</w:t>
      </w:r>
    </w:p>
    <w:p w:rsidR="000A4696" w:rsidRPr="006E73C7" w:rsidRDefault="002C407A" w:rsidP="003907FD">
      <w:pPr>
        <w:adjustRightInd w:val="0"/>
        <w:snapToGrid w:val="0"/>
        <w:spacing w:after="0" w:line="360" w:lineRule="auto"/>
        <w:ind w:firstLineChars="200" w:firstLine="562"/>
        <w:rPr>
          <w:rFonts w:ascii="黑体" w:eastAsia="黑体" w:hAnsi="黑体" w:cs="仿宋_GB2312" w:hint="default"/>
          <w:b/>
          <w:bCs/>
          <w:sz w:val="28"/>
          <w:szCs w:val="28"/>
          <w:lang w:val="zh-TW" w:eastAsia="zh-TW"/>
        </w:rPr>
      </w:pPr>
      <w:r w:rsidRPr="006E73C7">
        <w:rPr>
          <w:rFonts w:ascii="黑体" w:eastAsia="黑体" w:hAnsi="黑体" w:cs="仿宋_GB2312"/>
          <w:b/>
          <w:bCs/>
          <w:sz w:val="28"/>
          <w:szCs w:val="28"/>
          <w:lang w:val="zh-TW" w:eastAsia="zh-TW"/>
        </w:rPr>
        <w:t>三、评选标准</w:t>
      </w:r>
    </w:p>
    <w:p w:rsidR="00815C65" w:rsidRPr="006E73C7" w:rsidRDefault="006E73C7" w:rsidP="006E73C7">
      <w:pPr>
        <w:adjustRightInd w:val="0"/>
        <w:snapToGrid w:val="0"/>
        <w:spacing w:after="0" w:line="360" w:lineRule="auto"/>
        <w:ind w:firstLineChars="200" w:firstLine="562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6E73C7"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1、“我心目中的好导师”评选标准</w:t>
      </w:r>
      <w:r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。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体现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五佳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”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：师道风范佳、学术水平佳、育人成效佳、开拓创新佳、关爱学生佳。</w:t>
      </w:r>
    </w:p>
    <w:p w:rsidR="00750448" w:rsidRPr="006607C7" w:rsidRDefault="00750448" w:rsidP="00750448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6607C7">
        <w:rPr>
          <w:rFonts w:ascii="仿宋_GB2312" w:eastAsia="仿宋_GB2312" w:hAnsi="仿宋_GB2312" w:cs="仿宋_GB2312" w:hint="cs"/>
          <w:sz w:val="28"/>
          <w:szCs w:val="28"/>
          <w:lang w:val="zh-TW" w:eastAsia="zh-TW"/>
        </w:rPr>
        <w:t>（</w:t>
      </w:r>
      <w:r w:rsidRPr="006607C7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1）师德风范佳：师德高尚，治学严谨，作风正派，为人师表，具有优良的职业道德和职业规范。</w:t>
      </w:r>
    </w:p>
    <w:p w:rsidR="00815C65" w:rsidRPr="006E73C7" w:rsidRDefault="002C407A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（2）学术水平佳：具有较高学术水平和学术造诣，在本领域取得了较为突出的科研成果，带领团队具有良好的学术氛围；</w:t>
      </w:r>
    </w:p>
    <w:p w:rsidR="00815C65" w:rsidRPr="006E73C7" w:rsidRDefault="002C407A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lastRenderedPageBreak/>
        <w:t>（3）育人成效佳：所指导的学生学习成绩优秀，科研成果显著，并积极参与校园文化活动与社会实践活动；</w:t>
      </w:r>
    </w:p>
    <w:p w:rsidR="00815C65" w:rsidRPr="006E73C7" w:rsidRDefault="002C407A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（4）</w:t>
      </w:r>
      <w:r w:rsidRPr="006E73C7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开拓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创新</w:t>
      </w:r>
      <w:r w:rsidRPr="006E73C7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佳：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富有开拓创新精神，注重研究生创新精神和开拓能力的培养，在科技创新和教学改革方面有所成就</w:t>
      </w:r>
      <w:r w:rsidRPr="006E73C7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；</w:t>
      </w:r>
    </w:p>
    <w:p w:rsidR="00815C65" w:rsidRPr="006E73C7" w:rsidRDefault="002C407A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（5）</w:t>
      </w:r>
      <w:r w:rsidR="00BC36FC" w:rsidRPr="00BC36FC">
        <w:rPr>
          <w:rFonts w:ascii="仿宋_GB2312" w:eastAsia="仿宋_GB2312" w:hAnsi="仿宋_GB2312" w:cs="仿宋_GB2312" w:hint="cs"/>
          <w:sz w:val="28"/>
          <w:szCs w:val="28"/>
          <w:lang w:val="zh-TW" w:eastAsia="zh-TW"/>
        </w:rPr>
        <w:t>关爱学生佳：能对研究生的生活给予充分的关心和必要的支持，帮助学生做好职业生涯规划，使学生正确认识、客观评价自我，树立正确的就业观和未来发展方向。</w:t>
      </w:r>
    </w:p>
    <w:p w:rsidR="00815C65" w:rsidRPr="006E73C7" w:rsidRDefault="006E73C7" w:rsidP="003907FD">
      <w:pPr>
        <w:adjustRightInd w:val="0"/>
        <w:snapToGrid w:val="0"/>
        <w:spacing w:after="0" w:line="360" w:lineRule="auto"/>
        <w:ind w:firstLineChars="200" w:firstLine="562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2</w:t>
      </w:r>
      <w:r w:rsidR="002C407A" w:rsidRPr="006E73C7"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、“我们眼中的优秀导学团队”评选标准</w:t>
      </w:r>
      <w:r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。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体现</w:t>
      </w:r>
      <w:r w:rsidR="002C407A"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“四优”：团队建设优、科研成绩优、学习氛围优，文化建设优。</w:t>
      </w:r>
    </w:p>
    <w:p w:rsidR="00815C65" w:rsidRPr="006E73C7" w:rsidRDefault="002C407A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（1）团队建设优：团队教师总数两名及以上，学生总数（包括已毕业学生）10名及以上，有已毕业的研究生；含博士点的团队必须包含硕士、博士，若无博士点则不要求含博士</w:t>
      </w:r>
      <w:r w:rsid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</w:t>
      </w:r>
    </w:p>
    <w:p w:rsidR="00815C65" w:rsidRPr="006E73C7" w:rsidRDefault="002C407A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（2）科研成绩优：团队成员在重点刊物上发表研究成果，或在相关学科领域获奖，以及拥有专利成果，</w:t>
      </w:r>
      <w:r w:rsidRPr="006E73C7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或指导学生在科技创新领域获奖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等；</w:t>
      </w:r>
    </w:p>
    <w:p w:rsidR="00815C65" w:rsidRPr="006E73C7" w:rsidRDefault="002C407A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（3）学习氛围优：学生在导师指导下顺利完成学业，团队学生中有不及格科目的学生数不超过10%，延期毕业学生不超过30%</w:t>
      </w:r>
      <w:r w:rsid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有受处分学生的团队不得参评；</w:t>
      </w:r>
    </w:p>
    <w:p w:rsidR="00815C65" w:rsidRPr="006E73C7" w:rsidRDefault="002C407A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（4）文化建设优：师生间关系融洽，亦师亦友，同学间互助友爱，情谊深厚，团队每年至少有一次师生共同参与的党建与</w:t>
      </w:r>
      <w:r w:rsid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思想政治</w:t>
      </w:r>
      <w:r w:rsidRPr="006E73C7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教育</w:t>
      </w:r>
      <w:r w:rsidRPr="006E73C7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活动。</w:t>
      </w:r>
    </w:p>
    <w:p w:rsidR="00815C65" w:rsidRPr="002B145D" w:rsidRDefault="002B145D" w:rsidP="003907FD">
      <w:pPr>
        <w:adjustRightInd w:val="0"/>
        <w:snapToGrid w:val="0"/>
        <w:spacing w:after="0" w:line="360" w:lineRule="auto"/>
        <w:ind w:firstLineChars="200" w:firstLine="562"/>
        <w:rPr>
          <w:rFonts w:ascii="黑体" w:eastAsia="黑体" w:hAnsi="黑体" w:cs="仿宋_GB2312" w:hint="default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仿宋_GB2312"/>
          <w:b/>
          <w:bCs/>
          <w:sz w:val="28"/>
          <w:szCs w:val="28"/>
          <w:lang w:val="zh-TW" w:eastAsia="zh-TW"/>
        </w:rPr>
        <w:t>四</w:t>
      </w:r>
      <w:r w:rsidR="002C407A" w:rsidRPr="002B145D">
        <w:rPr>
          <w:rFonts w:ascii="黑体" w:eastAsia="黑体" w:hAnsi="黑体" w:cs="仿宋_GB2312"/>
          <w:b/>
          <w:bCs/>
          <w:sz w:val="28"/>
          <w:szCs w:val="28"/>
          <w:lang w:val="zh-TW" w:eastAsia="zh-TW"/>
        </w:rPr>
        <w:t>、活动安排</w:t>
      </w:r>
    </w:p>
    <w:p w:rsidR="00815C65" w:rsidRPr="00AC3AF8" w:rsidRDefault="002C407A" w:rsidP="003907FD">
      <w:pPr>
        <w:adjustRightInd w:val="0"/>
        <w:snapToGrid w:val="0"/>
        <w:spacing w:after="0" w:line="360" w:lineRule="auto"/>
        <w:ind w:firstLineChars="200" w:firstLine="562"/>
        <w:rPr>
          <w:rFonts w:ascii="楷体" w:eastAsia="楷体" w:hAnsi="楷体" w:cs="仿宋_GB2312" w:hint="default"/>
          <w:b/>
          <w:bCs/>
          <w:sz w:val="28"/>
          <w:szCs w:val="28"/>
          <w:lang w:val="zh-TW" w:eastAsia="zh-TW"/>
        </w:rPr>
      </w:pPr>
      <w:r w:rsidRPr="00AC3AF8"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1、学院推荐（3月15日－3月31日）</w:t>
      </w:r>
    </w:p>
    <w:p w:rsidR="00815C65" w:rsidRPr="00B60CAE" w:rsidRDefault="002C407A" w:rsidP="00B60CAE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PMingLiU" w:hAnsi="仿宋_GB2312" w:cs="仿宋_GB2312" w:hint="default"/>
          <w:sz w:val="28"/>
          <w:szCs w:val="28"/>
          <w:lang w:val="zh-TW" w:eastAsia="zh-TW"/>
        </w:rPr>
      </w:pPr>
      <w:bookmarkStart w:id="5" w:name="OLE_LINK6"/>
      <w:bookmarkStart w:id="6" w:name="OLE_LINK7"/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学院</w:t>
      </w:r>
      <w:r w:rsid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（所）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自行推选“好导师”及“优秀导学团队”候选</w:t>
      </w:r>
      <w:r w:rsid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人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，不限名额。上报时学院</w:t>
      </w:r>
      <w:r w:rsid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（所）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需要对上报的导师和团队进行排序。</w:t>
      </w:r>
      <w:r w:rsidR="00B60CAE" w:rsidRPr="00B60CAE">
        <w:rPr>
          <w:rFonts w:ascii="仿宋_GB2312" w:eastAsia="仿宋_GB2312" w:hAnsi="仿宋_GB2312" w:cs="仿宋_GB2312" w:hint="cs"/>
          <w:sz w:val="28"/>
          <w:szCs w:val="28"/>
          <w:lang w:val="zh-TW" w:eastAsia="zh-TW"/>
        </w:rPr>
        <w:lastRenderedPageBreak/>
        <w:t>凡获得过历届</w:t>
      </w:r>
      <w:r w:rsidR="00B60CAE" w:rsidRPr="00B60CA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</w:t>
      </w:r>
      <w:r w:rsidR="00B60CAE" w:rsidRPr="00B60CAE">
        <w:rPr>
          <w:rFonts w:ascii="仿宋_GB2312" w:eastAsia="仿宋_GB2312" w:hAnsi="仿宋_GB2312" w:cs="仿宋_GB2312" w:hint="cs"/>
          <w:sz w:val="28"/>
          <w:szCs w:val="28"/>
          <w:lang w:val="zh-TW" w:eastAsia="zh-TW"/>
        </w:rPr>
        <w:t>良师益友</w:t>
      </w:r>
      <w:r w:rsidR="00B60CAE" w:rsidRPr="00B60CA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”</w:t>
      </w:r>
      <w:r w:rsidR="00B60CAE" w:rsidRPr="00B60CAE">
        <w:rPr>
          <w:rFonts w:ascii="仿宋_GB2312" w:eastAsia="仿宋_GB2312" w:hAnsi="仿宋_GB2312" w:cs="仿宋_GB2312" w:hint="cs"/>
          <w:sz w:val="28"/>
          <w:szCs w:val="28"/>
          <w:lang w:val="zh-TW" w:eastAsia="zh-TW"/>
        </w:rPr>
        <w:t>活动评选的优秀导师及导学团队原则上不再参与此次评选活动，获得提名奖的可继续申请。</w:t>
      </w:r>
      <w:r w:rsid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3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月</w:t>
      </w:r>
      <w:r w:rsid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3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1日前学院将候选导师及导学团队材料发送至</w:t>
      </w:r>
      <w:bookmarkEnd w:id="5"/>
      <w:bookmarkEnd w:id="6"/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：</w:t>
      </w:r>
      <w:hyperlink r:id="rId7" w:history="1">
        <w:r w:rsidR="00AC3AF8" w:rsidRPr="0070629B">
          <w:rPr>
            <w:rStyle w:val="a9"/>
            <w:rFonts w:ascii="仿宋_GB2312" w:eastAsia="仿宋_GB2312" w:hAnsi="仿宋_GB2312" w:cs="仿宋_GB2312"/>
            <w:sz w:val="28"/>
            <w:szCs w:val="28"/>
            <w:u w:val="none"/>
            <w:lang w:val="zh-TW" w:eastAsia="zh-TW"/>
          </w:rPr>
          <w:t>ECUSTXUESHU</w:t>
        </w:r>
        <w:r w:rsidR="00AC3AF8" w:rsidRPr="0070629B">
          <w:rPr>
            <w:rStyle w:val="a9"/>
            <w:rFonts w:ascii="仿宋_GB2312" w:eastAsia="仿宋_GB2312" w:hAnsi="仿宋_GB2312" w:cs="仿宋_GB2312" w:hint="default"/>
            <w:sz w:val="28"/>
            <w:szCs w:val="28"/>
            <w:u w:val="none"/>
            <w:lang w:val="zh-TW" w:eastAsia="zh-TW"/>
          </w:rPr>
          <w:t>@163.com</w:t>
        </w:r>
      </w:hyperlink>
      <w:r w:rsid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和ygb@ecust</w:t>
      </w:r>
      <w:r w:rsidR="00AC3AF8">
        <w:rPr>
          <w:rFonts w:ascii="仿宋_GB2312" w:eastAsia="PMingLiU" w:hAnsi="仿宋_GB2312" w:cs="仿宋_GB2312" w:hint="default"/>
          <w:sz w:val="28"/>
          <w:szCs w:val="28"/>
          <w:lang w:val="zh-TW" w:eastAsia="zh-TW"/>
        </w:rPr>
        <w:t>.edu.cn</w:t>
      </w:r>
      <w:r w:rsidR="0070629B">
        <w:rPr>
          <w:rFonts w:asciiTheme="minorEastAsia" w:eastAsiaTheme="minorEastAsia" w:hAnsiTheme="minorEastAsia" w:cs="仿宋_GB2312"/>
          <w:sz w:val="28"/>
          <w:szCs w:val="28"/>
          <w:lang w:val="zh-TW" w:eastAsia="zh-TW"/>
        </w:rPr>
        <w:t>。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材料</w:t>
      </w:r>
      <w:r w:rsidR="0070629B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要求另行通知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</w:t>
      </w:r>
    </w:p>
    <w:p w:rsidR="00815C65" w:rsidRPr="00AC3AF8" w:rsidRDefault="002C407A" w:rsidP="003907FD">
      <w:pPr>
        <w:adjustRightInd w:val="0"/>
        <w:snapToGrid w:val="0"/>
        <w:spacing w:after="0" w:line="360" w:lineRule="auto"/>
        <w:ind w:firstLineChars="200" w:firstLine="562"/>
        <w:rPr>
          <w:rFonts w:ascii="楷体" w:eastAsia="楷体" w:hAnsi="楷体" w:cs="仿宋_GB2312" w:hint="default"/>
          <w:b/>
          <w:bCs/>
          <w:sz w:val="28"/>
          <w:szCs w:val="28"/>
          <w:lang w:val="zh-TW" w:eastAsia="zh-TW"/>
        </w:rPr>
      </w:pPr>
      <w:r w:rsidRPr="00AC3AF8"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2、线上投票</w:t>
      </w:r>
      <w:r w:rsidR="00AC3AF8">
        <w:rPr>
          <w:rFonts w:asciiTheme="minorEastAsia" w:eastAsiaTheme="minorEastAsia" w:hAnsiTheme="minorEastAsia" w:cs="仿宋_GB2312"/>
          <w:b/>
          <w:bCs/>
          <w:sz w:val="28"/>
          <w:szCs w:val="28"/>
          <w:lang w:val="zh-TW" w:eastAsia="zh-TW"/>
        </w:rPr>
        <w:t>和</w:t>
      </w:r>
      <w:r w:rsidRPr="00AC3AF8"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线下投票（4月20日－4月30日）</w:t>
      </w:r>
    </w:p>
    <w:p w:rsidR="00815C65" w:rsidRPr="00AC3AF8" w:rsidRDefault="00272681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依托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华东理工大学研究生微信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公众号展示申报导师和导学</w:t>
      </w:r>
      <w:r>
        <w:rPr>
          <w:rFonts w:ascii="仿宋_GB2312" w:eastAsia="仿宋_GB2312" w:hAnsi="仿宋_GB2312" w:cs="仿宋_GB2312"/>
          <w:sz w:val="28"/>
          <w:szCs w:val="28"/>
          <w:lang w:val="zh-TW" w:eastAsia="zh-CN"/>
        </w:rPr>
        <w:t>团队风采，并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进行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线上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投票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；同时，制作展板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在图书馆一楼大厅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展示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导师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和导学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团队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风采，并进行现场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二维码投票。</w:t>
      </w:r>
      <w:r w:rsidR="002C407A"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投票评选出20位“好导师”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和</w:t>
      </w:r>
      <w:r w:rsidR="00EA1139" w:rsidRPr="00AC3AF8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20</w:t>
      </w:r>
      <w:r w:rsid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个</w:t>
      </w:r>
      <w:r w:rsidR="002C407A"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“优秀导学团队”。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投票规则另行通知。</w:t>
      </w:r>
    </w:p>
    <w:p w:rsidR="00815C65" w:rsidRDefault="002C407A" w:rsidP="003907FD">
      <w:pPr>
        <w:adjustRightInd w:val="0"/>
        <w:snapToGrid w:val="0"/>
        <w:spacing w:after="0" w:line="360" w:lineRule="auto"/>
        <w:ind w:firstLineChars="200" w:firstLine="562"/>
        <w:rPr>
          <w:rFonts w:ascii="楷体" w:eastAsia="PMingLiU" w:hAnsi="楷体" w:cs="仿宋_GB2312" w:hint="default"/>
          <w:b/>
          <w:bCs/>
          <w:sz w:val="28"/>
          <w:szCs w:val="28"/>
          <w:lang w:val="zh-TW" w:eastAsia="zh-TW"/>
        </w:rPr>
      </w:pPr>
      <w:r w:rsidRPr="00AC3AF8"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3、现场</w:t>
      </w:r>
      <w:r w:rsidR="00AC3AF8"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展示</w:t>
      </w:r>
      <w:r w:rsidRPr="00AC3AF8"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（5月6日－5月15日）</w:t>
      </w:r>
    </w:p>
    <w:p w:rsidR="00004FE8" w:rsidRPr="007616F0" w:rsidRDefault="007616F0" w:rsidP="00004FE8">
      <w:pPr>
        <w:adjustRightInd w:val="0"/>
        <w:snapToGrid w:val="0"/>
        <w:spacing w:before="100" w:after="100" w:line="360" w:lineRule="auto"/>
        <w:ind w:firstLineChars="200" w:firstLine="560"/>
        <w:rPr>
          <w:rFonts w:ascii="仿宋_GB2312" w:eastAsia="PMingLiU" w:hAnsi="仿宋_GB2312" w:cs="仿宋_GB2312" w:hint="default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各学院对入围的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20位“好导师”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和</w:t>
      </w:r>
      <w:r w:rsidRPr="00AC3AF8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20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个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“优秀导学团队”</w:t>
      </w:r>
      <w:r w:rsidR="00004FE8" w:rsidRPr="00004FE8">
        <w:rPr>
          <w:rFonts w:ascii="仿宋_GB2312" w:eastAsia="仿宋_GB2312" w:hAnsi="仿宋_GB2312" w:cs="仿宋_GB2312" w:hint="cs"/>
          <w:sz w:val="28"/>
          <w:szCs w:val="28"/>
          <w:lang w:val="zh-TW" w:eastAsia="zh-TW"/>
        </w:rPr>
        <w:t>制作宣传视频和文字资料，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并进行现场答辩和风采展示</w:t>
      </w:r>
      <w:r w:rsidR="00004FE8" w:rsidRPr="00004FE8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。</w:t>
      </w:r>
      <w:r w:rsidR="007C126A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由研究生代表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最终评选出</w:t>
      </w:r>
      <w:r w:rsidRPr="00004FE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</w:t>
      </w:r>
      <w:r w:rsidRPr="00004FE8">
        <w:rPr>
          <w:rFonts w:ascii="仿宋_GB2312" w:eastAsia="仿宋_GB2312" w:hAnsi="仿宋_GB2312" w:cs="仿宋_GB2312" w:hint="cs"/>
          <w:sz w:val="28"/>
          <w:szCs w:val="28"/>
          <w:lang w:val="zh-TW" w:eastAsia="zh-TW"/>
        </w:rPr>
        <w:t>我心目中的好导师</w:t>
      </w:r>
      <w:r w:rsidRPr="00004FE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”</w:t>
      </w:r>
      <w:r w:rsidRPr="00004FE8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10名，“我心目中的好导师”提名奖10名；“我们眼中的优秀导学团队”10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个</w:t>
      </w:r>
      <w:r w:rsidRPr="00004FE8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，“我们眼中的优秀导学团队”提名奖10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个</w:t>
      </w:r>
      <w:r w:rsidRPr="00004FE8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。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评选细则另行</w:t>
      </w:r>
      <w:r w:rsidR="007C126A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通知</w:t>
      </w: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</w:t>
      </w:r>
    </w:p>
    <w:p w:rsidR="00520FBF" w:rsidRPr="00AC3AF8" w:rsidRDefault="00520FBF" w:rsidP="003907FD">
      <w:pPr>
        <w:adjustRightInd w:val="0"/>
        <w:snapToGrid w:val="0"/>
        <w:spacing w:after="0" w:line="360" w:lineRule="auto"/>
        <w:ind w:firstLineChars="200" w:firstLine="562"/>
        <w:rPr>
          <w:rFonts w:ascii="楷体" w:eastAsia="楷体" w:hAnsi="楷体" w:cs="仿宋_GB2312" w:hint="default"/>
          <w:b/>
          <w:bCs/>
          <w:sz w:val="28"/>
          <w:szCs w:val="28"/>
          <w:lang w:val="zh-TW" w:eastAsia="zh-TW"/>
        </w:rPr>
      </w:pPr>
      <w:r w:rsidRPr="00AC3AF8"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4、</w:t>
      </w:r>
      <w:r w:rsidR="00AC3AF8"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激励</w:t>
      </w:r>
      <w:r w:rsidRPr="00AC3AF8"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表彰（</w:t>
      </w:r>
      <w:r w:rsidR="00AC3AF8"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时间待定</w:t>
      </w:r>
      <w:r w:rsidRPr="00AC3AF8">
        <w:rPr>
          <w:rFonts w:ascii="楷体" w:eastAsia="楷体" w:hAnsi="楷体" w:cs="仿宋_GB2312"/>
          <w:b/>
          <w:bCs/>
          <w:sz w:val="28"/>
          <w:szCs w:val="28"/>
          <w:lang w:val="zh-TW" w:eastAsia="zh-TW"/>
        </w:rPr>
        <w:t>）</w:t>
      </w:r>
    </w:p>
    <w:p w:rsidR="00520FBF" w:rsidRPr="00AC3AF8" w:rsidRDefault="00520FBF" w:rsidP="00AC3AF8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学校</w:t>
      </w:r>
      <w:r w:rsid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召开表彰大会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对获奖的导师和导学团队进行表彰奖励，颁发获奖证书，并在后期通过校园相关媒体（</w:t>
      </w:r>
      <w:r w:rsid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社会媒体、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校园</w:t>
      </w:r>
      <w:r w:rsid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媒体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</w:t>
      </w:r>
      <w:r w:rsidR="00AC3AF8"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华</w:t>
      </w:r>
      <w:r w:rsid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东理工大学</w:t>
      </w:r>
      <w:r w:rsidR="00AC3AF8" w:rsidRPr="00AC3AF8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研究生</w:t>
      </w:r>
      <w:r w:rsidR="00AC3AF8"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微信公众号、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花梨哥哥微信</w:t>
      </w:r>
      <w:r w:rsidRPr="00AC3AF8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公众号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等）对好导师和优秀导学团队的先进事迹进行</w:t>
      </w:r>
      <w:r w:rsid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风采展示与</w:t>
      </w:r>
      <w:r w:rsidR="00AC3AF8"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宣传</w:t>
      </w:r>
      <w:r w:rsidRPr="00AC3AF8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报道。</w:t>
      </w:r>
    </w:p>
    <w:p w:rsidR="00815C65" w:rsidRPr="002D38EE" w:rsidRDefault="002D38EE" w:rsidP="003907FD">
      <w:pPr>
        <w:adjustRightInd w:val="0"/>
        <w:snapToGrid w:val="0"/>
        <w:spacing w:after="0" w:line="360" w:lineRule="auto"/>
        <w:ind w:firstLineChars="200" w:firstLine="562"/>
        <w:rPr>
          <w:rFonts w:ascii="黑体" w:eastAsia="黑体" w:hAnsi="黑体" w:cs="仿宋_GB2312" w:hint="default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仿宋_GB2312"/>
          <w:b/>
          <w:bCs/>
          <w:sz w:val="28"/>
          <w:szCs w:val="28"/>
          <w:lang w:val="zh-TW" w:eastAsia="zh-TW"/>
        </w:rPr>
        <w:t>五</w:t>
      </w:r>
      <w:r w:rsidR="002C407A" w:rsidRPr="002D38EE">
        <w:rPr>
          <w:rFonts w:ascii="黑体" w:eastAsia="黑体" w:hAnsi="黑体" w:cs="仿宋_GB2312"/>
          <w:b/>
          <w:bCs/>
          <w:sz w:val="28"/>
          <w:szCs w:val="28"/>
          <w:lang w:val="zh-TW" w:eastAsia="zh-TW"/>
        </w:rPr>
        <w:t>、工作要求</w:t>
      </w:r>
    </w:p>
    <w:p w:rsidR="00815C65" w:rsidRDefault="002C407A" w:rsidP="003907FD">
      <w:pPr>
        <w:adjustRightInd w:val="0"/>
        <w:snapToGrid w:val="0"/>
        <w:spacing w:after="0" w:line="360" w:lineRule="auto"/>
        <w:ind w:firstLineChars="200" w:firstLine="562"/>
        <w:rPr>
          <w:rFonts w:ascii="仿宋_GB2312" w:eastAsia="仿宋_GB2312" w:hAnsi="仿宋_GB2312" w:cs="仿宋_GB2312" w:hint="default"/>
          <w:sz w:val="24"/>
          <w:szCs w:val="24"/>
          <w:lang w:val="zh-TW" w:eastAsia="zh-TW"/>
        </w:rPr>
      </w:pPr>
      <w:r w:rsidRPr="002D38EE">
        <w:rPr>
          <w:rFonts w:ascii="楷体" w:eastAsia="楷体" w:hAnsi="楷体" w:cs="仿宋_GB2312"/>
          <w:b/>
          <w:sz w:val="28"/>
          <w:szCs w:val="28"/>
          <w:lang w:val="zh-TW" w:eastAsia="zh-CN"/>
        </w:rPr>
        <w:t>1、积极参与</w:t>
      </w:r>
      <w:r w:rsidR="002D38EE" w:rsidRPr="002D38EE">
        <w:rPr>
          <w:rFonts w:ascii="楷体" w:eastAsia="楷体" w:hAnsi="楷体" w:cs="仿宋_GB2312"/>
          <w:b/>
          <w:sz w:val="28"/>
          <w:szCs w:val="28"/>
          <w:lang w:val="zh-TW" w:eastAsia="zh-CN"/>
        </w:rPr>
        <w:t>。</w:t>
      </w: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“良师益友”评选活动每三年组织一次，活动不仅在学生中有一定影响力，也得到各位导师的大力支持和积极参与。</w:t>
      </w:r>
      <w:r w:rsid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请</w:t>
      </w:r>
      <w:r w:rsidR="002D38EE"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各学院认真组织此次评选活动</w:t>
      </w:r>
      <w:r w:rsid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</w:t>
      </w: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动员学院师生积极参加，把</w:t>
      </w: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lastRenderedPageBreak/>
        <w:t>学院优秀导师代表的风采展示给全校师生，组织研究生为自己心目中的良师益友投票。</w:t>
      </w:r>
    </w:p>
    <w:p w:rsidR="00815C65" w:rsidRPr="002D38EE" w:rsidRDefault="002C407A" w:rsidP="003907FD">
      <w:pPr>
        <w:adjustRightInd w:val="0"/>
        <w:snapToGrid w:val="0"/>
        <w:spacing w:after="0" w:line="360" w:lineRule="auto"/>
        <w:ind w:firstLineChars="200" w:firstLine="562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2D38EE">
        <w:rPr>
          <w:rFonts w:ascii="楷体" w:eastAsia="楷体" w:hAnsi="楷体" w:cs="仿宋_GB2312"/>
          <w:b/>
          <w:sz w:val="28"/>
          <w:szCs w:val="28"/>
          <w:lang w:val="zh-TW" w:eastAsia="zh-CN"/>
        </w:rPr>
        <w:t>2、</w:t>
      </w:r>
      <w:r w:rsidR="002D38EE">
        <w:rPr>
          <w:rFonts w:ascii="楷体" w:eastAsia="楷体" w:hAnsi="楷体" w:cs="仿宋_GB2312"/>
          <w:b/>
          <w:sz w:val="28"/>
          <w:szCs w:val="28"/>
          <w:lang w:val="zh-TW" w:eastAsia="zh-CN"/>
        </w:rPr>
        <w:t>精心策划。</w:t>
      </w: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第一轮</w:t>
      </w:r>
      <w:r w:rsidR="00520FBF"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</w:t>
      </w:r>
      <w:r w:rsidR="00520FBF" w:rsidRPr="002D38EE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第二轮</w:t>
      </w: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活动评选</w:t>
      </w:r>
      <w:r w:rsidR="00520FBF"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均</w:t>
      </w: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采用微信投票与线下投票相结合的方式，社会大众都可为心目中的良师益友投票，导师、团队所得票数多少决定是否进入下一轮评选。各个学院要精心为每个进入终评的导师和团队制作材料（包括文字和影音材料等），深入挖掘他们日常生活中的点点滴滴，把候选者吸引人</w:t>
      </w:r>
      <w:r w:rsid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</w:t>
      </w: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感动人</w:t>
      </w:r>
      <w:r w:rsid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</w:t>
      </w: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教育人的优秀事迹展示给广大师生及社会大众。</w:t>
      </w:r>
    </w:p>
    <w:p w:rsidR="00815C65" w:rsidRPr="002D38EE" w:rsidRDefault="002C407A" w:rsidP="003907FD">
      <w:pPr>
        <w:adjustRightInd w:val="0"/>
        <w:snapToGrid w:val="0"/>
        <w:spacing w:after="0" w:line="360" w:lineRule="auto"/>
        <w:ind w:firstLineChars="200" w:firstLine="562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2D38EE">
        <w:rPr>
          <w:rFonts w:ascii="楷体" w:eastAsia="楷体" w:hAnsi="楷体" w:cs="仿宋_GB2312"/>
          <w:b/>
          <w:sz w:val="28"/>
          <w:szCs w:val="28"/>
          <w:lang w:val="zh-TW" w:eastAsia="zh-CN"/>
        </w:rPr>
        <w:t>3、广泛宣传</w:t>
      </w:r>
      <w:r w:rsidR="002D38EE" w:rsidRPr="002D38EE">
        <w:rPr>
          <w:rFonts w:ascii="楷体" w:eastAsia="楷体" w:hAnsi="楷体" w:cs="仿宋_GB2312"/>
          <w:b/>
          <w:sz w:val="28"/>
          <w:szCs w:val="28"/>
          <w:lang w:val="zh-TW" w:eastAsia="zh-CN"/>
        </w:rPr>
        <w:t>。</w:t>
      </w: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各学院做好宣传工作，充分利用学院网站、宣传栏、微信平台、班级QQ群、微博等平台让</w:t>
      </w:r>
      <w:r w:rsid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广大研究生</w:t>
      </w: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参与到活动中，为自己喜爱的导师和导学团队投票。不仅如此，还要深入了解候选导师和导学团队的优秀事迹，促进跨学院师生间的交流和沟通。</w:t>
      </w:r>
    </w:p>
    <w:p w:rsidR="00815C65" w:rsidRPr="002D38EE" w:rsidRDefault="002D38EE" w:rsidP="002D38EE">
      <w:pPr>
        <w:adjustRightInd w:val="0"/>
        <w:snapToGrid w:val="0"/>
        <w:spacing w:after="0" w:line="360" w:lineRule="auto"/>
        <w:ind w:firstLineChars="200" w:firstLine="562"/>
        <w:rPr>
          <w:rFonts w:ascii="黑体" w:eastAsia="黑体" w:hAnsi="黑体" w:cs="仿宋_GB2312" w:hint="default"/>
          <w:b/>
          <w:bCs/>
          <w:sz w:val="28"/>
          <w:szCs w:val="28"/>
          <w:lang w:val="zh-TW" w:eastAsia="zh-TW"/>
        </w:rPr>
      </w:pPr>
      <w:r>
        <w:rPr>
          <w:rFonts w:ascii="黑体" w:eastAsia="黑体" w:hAnsi="黑体" w:cs="仿宋_GB2312"/>
          <w:b/>
          <w:bCs/>
          <w:sz w:val="28"/>
          <w:szCs w:val="28"/>
          <w:lang w:val="zh-TW" w:eastAsia="zh-TW"/>
        </w:rPr>
        <w:t>六</w:t>
      </w:r>
      <w:r w:rsidR="002C407A" w:rsidRPr="002D38EE">
        <w:rPr>
          <w:rFonts w:ascii="黑体" w:eastAsia="黑体" w:hAnsi="黑体" w:cs="仿宋_GB2312"/>
          <w:b/>
          <w:bCs/>
          <w:sz w:val="28"/>
          <w:szCs w:val="28"/>
          <w:lang w:val="zh-TW" w:eastAsia="zh-TW"/>
        </w:rPr>
        <w:t>、奖项设置</w:t>
      </w:r>
    </w:p>
    <w:p w:rsidR="00815C65" w:rsidRPr="002D38EE" w:rsidRDefault="002C407A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为保证</w:t>
      </w:r>
      <w:r w:rsid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第五届</w:t>
      </w: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“良师益友”评选活动的顺利开展和调动广大研究生的积极性，活动</w:t>
      </w:r>
      <w:r w:rsid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设置如下</w:t>
      </w: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奖项：</w:t>
      </w:r>
    </w:p>
    <w:p w:rsidR="00815C65" w:rsidRPr="002D38EE" w:rsidRDefault="002C407A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1</w:t>
      </w:r>
      <w:r w:rsid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</w:t>
      </w:r>
      <w:r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“我心目中的好导师”10名；</w:t>
      </w:r>
    </w:p>
    <w:p w:rsidR="00815C65" w:rsidRPr="002D38EE" w:rsidRDefault="002D38EE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2、</w:t>
      </w:r>
      <w:r w:rsidR="002C407A"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“我心目中的好导师”提名奖10名；</w:t>
      </w:r>
    </w:p>
    <w:p w:rsidR="00815C65" w:rsidRPr="002D38EE" w:rsidRDefault="002D38EE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3、</w:t>
      </w:r>
      <w:r w:rsidR="002C407A"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“我们眼中的优秀导学团队”</w:t>
      </w:r>
      <w:r w:rsidR="008C239F" w:rsidRPr="002D38EE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10</w:t>
      </w:r>
      <w:r w:rsidR="002C407A"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个；</w:t>
      </w:r>
    </w:p>
    <w:p w:rsidR="00815C65" w:rsidRPr="002D38EE" w:rsidRDefault="002D38EE" w:rsidP="006E73C7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4、</w:t>
      </w:r>
      <w:r w:rsidR="002C407A"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“我们眼中的优秀导学团队”提名奖</w:t>
      </w:r>
      <w:r w:rsidR="008C239F" w:rsidRPr="002D38EE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10</w:t>
      </w:r>
      <w:r w:rsidR="002C407A" w:rsidRPr="002D38EE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个；</w:t>
      </w:r>
    </w:p>
    <w:p w:rsidR="0070629B" w:rsidRDefault="002D38EE" w:rsidP="0070629B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PMingLiU" w:hAnsi="仿宋_GB2312" w:cs="仿宋_GB2312" w:hint="default"/>
          <w:sz w:val="28"/>
          <w:szCs w:val="28"/>
          <w:lang w:val="zh-TW" w:eastAsia="zh-TW"/>
        </w:rPr>
      </w:pPr>
      <w:r>
        <w:rPr>
          <w:rFonts w:ascii="仿宋_GB2312" w:eastAsia="仿宋_GB2312" w:hAnsi="仿宋_GB2312" w:cs="仿宋_GB2312"/>
          <w:sz w:val="28"/>
          <w:szCs w:val="28"/>
          <w:lang w:val="zh-TW" w:eastAsia="zh-TW"/>
        </w:rPr>
        <w:t>5、</w:t>
      </w:r>
      <w:r w:rsidR="00937A4F" w:rsidRPr="00937A4F">
        <w:rPr>
          <w:rFonts w:ascii="仿宋_GB2312" w:eastAsia="仿宋_GB2312" w:hAnsi="仿宋_GB2312" w:cs="仿宋_GB2312" w:hint="cs"/>
          <w:sz w:val="28"/>
          <w:szCs w:val="28"/>
          <w:lang w:val="zh-TW" w:eastAsia="zh-TW"/>
        </w:rPr>
        <w:t>优秀组织奖</w:t>
      </w:r>
      <w:r w:rsidR="00937A4F" w:rsidRPr="00937A4F"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  <w:t>5个：奖励在此次“良师益友”评选活动中积极组织、表现突出的学院（所）</w:t>
      </w:r>
      <w:r w:rsidR="0070629B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</w:t>
      </w:r>
    </w:p>
    <w:p w:rsidR="00CD2ABC" w:rsidRPr="00CD2ABC" w:rsidRDefault="00CD2ABC" w:rsidP="0070629B">
      <w:pPr>
        <w:adjustRightInd w:val="0"/>
        <w:snapToGrid w:val="0"/>
        <w:spacing w:after="0" w:line="360" w:lineRule="auto"/>
        <w:ind w:firstLineChars="200" w:firstLine="560"/>
        <w:rPr>
          <w:rFonts w:ascii="仿宋_GB2312" w:eastAsia="PMingLiU" w:hAnsi="仿宋_GB2312" w:cs="仿宋_GB2312" w:hint="default"/>
          <w:sz w:val="28"/>
          <w:szCs w:val="28"/>
          <w:lang w:val="zh-TW" w:eastAsia="zh-TW"/>
        </w:rPr>
      </w:pPr>
    </w:p>
    <w:p w:rsidR="00272681" w:rsidRPr="0070629B" w:rsidRDefault="00272681" w:rsidP="0070629B">
      <w:pPr>
        <w:adjustRightInd w:val="0"/>
        <w:snapToGrid w:val="0"/>
        <w:spacing w:after="0" w:line="360" w:lineRule="auto"/>
        <w:ind w:firstLineChars="500" w:firstLine="1405"/>
        <w:rPr>
          <w:rFonts w:asciiTheme="majorEastAsia" w:eastAsiaTheme="majorEastAsia" w:hAnsiTheme="majorEastAsia" w:cs="仿宋_GB2312" w:hint="default"/>
          <w:b/>
          <w:bCs/>
          <w:sz w:val="28"/>
          <w:szCs w:val="28"/>
          <w:lang w:val="zh-TW" w:eastAsia="zh-TW"/>
        </w:rPr>
      </w:pPr>
      <w:r w:rsidRPr="0070629B">
        <w:rPr>
          <w:rFonts w:asciiTheme="majorEastAsia" w:eastAsiaTheme="majorEastAsia" w:hAnsiTheme="majorEastAsia" w:cs="仿宋_GB2312" w:hint="cs"/>
          <w:b/>
          <w:bCs/>
          <w:sz w:val="28"/>
          <w:szCs w:val="28"/>
          <w:lang w:val="zh-TW" w:eastAsia="zh-TW"/>
        </w:rPr>
        <w:t>党委研究生工作部</w:t>
      </w:r>
      <w:r w:rsidR="0070629B" w:rsidRPr="0070629B">
        <w:rPr>
          <w:rFonts w:asciiTheme="majorEastAsia" w:eastAsiaTheme="majorEastAsia" w:hAnsiTheme="majorEastAsia" w:cs="仿宋_GB2312"/>
          <w:b/>
          <w:bCs/>
          <w:sz w:val="28"/>
          <w:szCs w:val="28"/>
          <w:lang w:val="zh-TW" w:eastAsia="zh-TW"/>
        </w:rPr>
        <w:t>、</w:t>
      </w:r>
      <w:r w:rsidRPr="0070629B">
        <w:rPr>
          <w:rFonts w:asciiTheme="majorEastAsia" w:eastAsiaTheme="majorEastAsia" w:hAnsiTheme="majorEastAsia" w:cs="仿宋_GB2312" w:hint="cs"/>
          <w:b/>
          <w:bCs/>
          <w:sz w:val="28"/>
          <w:szCs w:val="28"/>
          <w:lang w:val="zh-TW" w:eastAsia="zh-TW"/>
        </w:rPr>
        <w:t>党委教师工作部</w:t>
      </w:r>
      <w:r w:rsidR="0070629B" w:rsidRPr="0070629B">
        <w:rPr>
          <w:rFonts w:asciiTheme="majorEastAsia" w:eastAsiaTheme="majorEastAsia" w:hAnsiTheme="majorEastAsia" w:cs="仿宋_GB2312"/>
          <w:b/>
          <w:bCs/>
          <w:sz w:val="28"/>
          <w:szCs w:val="28"/>
          <w:lang w:val="zh-TW" w:eastAsia="zh-TW"/>
        </w:rPr>
        <w:t>、</w:t>
      </w:r>
      <w:r w:rsidRPr="0070629B">
        <w:rPr>
          <w:rFonts w:asciiTheme="majorEastAsia" w:eastAsiaTheme="majorEastAsia" w:hAnsiTheme="majorEastAsia" w:cs="仿宋_GB2312" w:hint="cs"/>
          <w:b/>
          <w:bCs/>
          <w:sz w:val="28"/>
          <w:szCs w:val="28"/>
          <w:lang w:val="zh-TW" w:eastAsia="zh-TW"/>
        </w:rPr>
        <w:t>团委、研究生会</w:t>
      </w:r>
    </w:p>
    <w:p w:rsidR="00815C65" w:rsidRPr="0070629B" w:rsidRDefault="002C407A" w:rsidP="006E73C7">
      <w:pPr>
        <w:adjustRightInd w:val="0"/>
        <w:snapToGrid w:val="0"/>
        <w:spacing w:line="360" w:lineRule="auto"/>
        <w:ind w:firstLineChars="200" w:firstLine="562"/>
        <w:jc w:val="right"/>
        <w:rPr>
          <w:rFonts w:ascii="Times New Roman" w:eastAsiaTheme="majorEastAsia" w:hAnsi="Times New Roman" w:cs="Times New Roman" w:hint="default"/>
          <w:b/>
          <w:bCs/>
          <w:sz w:val="28"/>
          <w:szCs w:val="28"/>
          <w:lang w:val="zh-TW" w:eastAsia="zh-TW"/>
        </w:rPr>
      </w:pPr>
      <w:r w:rsidRPr="0070629B">
        <w:rPr>
          <w:rFonts w:ascii="Times New Roman" w:eastAsiaTheme="majorEastAsia" w:hAnsi="Times New Roman" w:cs="Times New Roman" w:hint="default"/>
          <w:b/>
          <w:bCs/>
          <w:sz w:val="28"/>
          <w:szCs w:val="28"/>
          <w:lang w:val="zh-TW" w:eastAsia="zh-TW"/>
        </w:rPr>
        <w:t>2019</w:t>
      </w:r>
      <w:r w:rsidRPr="0070629B">
        <w:rPr>
          <w:rFonts w:ascii="Times New Roman" w:eastAsiaTheme="majorEastAsia" w:hAnsi="Times New Roman" w:cs="Times New Roman" w:hint="default"/>
          <w:b/>
          <w:bCs/>
          <w:sz w:val="28"/>
          <w:szCs w:val="28"/>
          <w:lang w:val="zh-TW" w:eastAsia="zh-TW"/>
        </w:rPr>
        <w:t>年</w:t>
      </w:r>
      <w:r w:rsidRPr="0070629B">
        <w:rPr>
          <w:rFonts w:ascii="Times New Roman" w:eastAsiaTheme="majorEastAsia" w:hAnsi="Times New Roman" w:cs="Times New Roman" w:hint="default"/>
          <w:b/>
          <w:bCs/>
          <w:sz w:val="28"/>
          <w:szCs w:val="28"/>
          <w:lang w:val="zh-TW" w:eastAsia="zh-TW"/>
        </w:rPr>
        <w:t>3</w:t>
      </w:r>
      <w:r w:rsidRPr="0070629B">
        <w:rPr>
          <w:rFonts w:ascii="Times New Roman" w:eastAsiaTheme="majorEastAsia" w:hAnsi="Times New Roman" w:cs="Times New Roman" w:hint="default"/>
          <w:b/>
          <w:bCs/>
          <w:sz w:val="28"/>
          <w:szCs w:val="28"/>
          <w:lang w:val="zh-TW" w:eastAsia="zh-TW"/>
        </w:rPr>
        <w:t>月</w:t>
      </w:r>
      <w:r w:rsidR="00937A4F">
        <w:rPr>
          <w:rFonts w:ascii="Times New Roman" w:eastAsiaTheme="majorEastAsia" w:hAnsi="Times New Roman" w:cs="Times New Roman"/>
          <w:b/>
          <w:bCs/>
          <w:sz w:val="28"/>
          <w:szCs w:val="28"/>
          <w:lang w:val="zh-TW" w:eastAsia="zh-CN"/>
        </w:rPr>
        <w:t>15</w:t>
      </w:r>
      <w:bookmarkStart w:id="7" w:name="_GoBack"/>
      <w:bookmarkEnd w:id="7"/>
      <w:r w:rsidR="0070629B">
        <w:rPr>
          <w:rFonts w:ascii="Times New Roman" w:eastAsiaTheme="majorEastAsia" w:hAnsi="Times New Roman" w:cs="Times New Roman"/>
          <w:b/>
          <w:bCs/>
          <w:sz w:val="28"/>
          <w:szCs w:val="28"/>
          <w:lang w:val="zh-TW" w:eastAsia="zh-TW"/>
        </w:rPr>
        <w:t>日</w:t>
      </w:r>
    </w:p>
    <w:sectPr w:rsidR="00815C65" w:rsidRPr="0070629B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D6" w:rsidRDefault="009C30D6">
      <w:pPr>
        <w:spacing w:after="0"/>
        <w:rPr>
          <w:rFonts w:hint="default"/>
        </w:rPr>
      </w:pPr>
      <w:r>
        <w:separator/>
      </w:r>
    </w:p>
  </w:endnote>
  <w:endnote w:type="continuationSeparator" w:id="0">
    <w:p w:rsidR="009C30D6" w:rsidRDefault="009C30D6">
      <w:pPr>
        <w:spacing w:after="0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Lingoes Unicode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D6" w:rsidRDefault="009C30D6">
      <w:pPr>
        <w:spacing w:after="0"/>
        <w:rPr>
          <w:rFonts w:hint="default"/>
        </w:rPr>
      </w:pPr>
      <w:r>
        <w:separator/>
      </w:r>
    </w:p>
  </w:footnote>
  <w:footnote w:type="continuationSeparator" w:id="0">
    <w:p w:rsidR="009C30D6" w:rsidRDefault="009C30D6">
      <w:pPr>
        <w:spacing w:after="0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D2"/>
    <w:rsid w:val="00004FE8"/>
    <w:rsid w:val="00024196"/>
    <w:rsid w:val="00026556"/>
    <w:rsid w:val="0003204F"/>
    <w:rsid w:val="00041450"/>
    <w:rsid w:val="000434DA"/>
    <w:rsid w:val="0006451B"/>
    <w:rsid w:val="000721A4"/>
    <w:rsid w:val="000766D0"/>
    <w:rsid w:val="000A4696"/>
    <w:rsid w:val="000F1A26"/>
    <w:rsid w:val="00114D65"/>
    <w:rsid w:val="001635A7"/>
    <w:rsid w:val="00180F38"/>
    <w:rsid w:val="00191CD5"/>
    <w:rsid w:val="001A19B4"/>
    <w:rsid w:val="001A290B"/>
    <w:rsid w:val="001D29F3"/>
    <w:rsid w:val="001D2E02"/>
    <w:rsid w:val="001E4820"/>
    <w:rsid w:val="00200AD2"/>
    <w:rsid w:val="002120E0"/>
    <w:rsid w:val="00252A0A"/>
    <w:rsid w:val="00255548"/>
    <w:rsid w:val="00272681"/>
    <w:rsid w:val="0028061F"/>
    <w:rsid w:val="002B145D"/>
    <w:rsid w:val="002B62E0"/>
    <w:rsid w:val="002C407A"/>
    <w:rsid w:val="002D38EE"/>
    <w:rsid w:val="002F2DA6"/>
    <w:rsid w:val="0031170A"/>
    <w:rsid w:val="003119C4"/>
    <w:rsid w:val="00315679"/>
    <w:rsid w:val="0032678A"/>
    <w:rsid w:val="00327C37"/>
    <w:rsid w:val="00333BA2"/>
    <w:rsid w:val="00355229"/>
    <w:rsid w:val="00364984"/>
    <w:rsid w:val="00376661"/>
    <w:rsid w:val="003907FD"/>
    <w:rsid w:val="003B23E9"/>
    <w:rsid w:val="003E137A"/>
    <w:rsid w:val="003E3B7C"/>
    <w:rsid w:val="004215A2"/>
    <w:rsid w:val="00426F37"/>
    <w:rsid w:val="00435ACC"/>
    <w:rsid w:val="004447CB"/>
    <w:rsid w:val="00452FD4"/>
    <w:rsid w:val="0045479B"/>
    <w:rsid w:val="00460EE5"/>
    <w:rsid w:val="004640D4"/>
    <w:rsid w:val="00466CBD"/>
    <w:rsid w:val="00473720"/>
    <w:rsid w:val="00475027"/>
    <w:rsid w:val="004B535E"/>
    <w:rsid w:val="004B729E"/>
    <w:rsid w:val="004D54A0"/>
    <w:rsid w:val="00500C32"/>
    <w:rsid w:val="00520FBF"/>
    <w:rsid w:val="0057234A"/>
    <w:rsid w:val="00584D0F"/>
    <w:rsid w:val="0058621E"/>
    <w:rsid w:val="005A1FD4"/>
    <w:rsid w:val="005A224C"/>
    <w:rsid w:val="00612A55"/>
    <w:rsid w:val="00613FF6"/>
    <w:rsid w:val="006213D0"/>
    <w:rsid w:val="00622FD5"/>
    <w:rsid w:val="00627BEE"/>
    <w:rsid w:val="00632DBC"/>
    <w:rsid w:val="00640C7B"/>
    <w:rsid w:val="006521B7"/>
    <w:rsid w:val="00653000"/>
    <w:rsid w:val="006D68F8"/>
    <w:rsid w:val="006E73C7"/>
    <w:rsid w:val="006E7499"/>
    <w:rsid w:val="006F6579"/>
    <w:rsid w:val="00700394"/>
    <w:rsid w:val="0070629B"/>
    <w:rsid w:val="00715FB4"/>
    <w:rsid w:val="00717CF7"/>
    <w:rsid w:val="007203B9"/>
    <w:rsid w:val="007444DA"/>
    <w:rsid w:val="00750448"/>
    <w:rsid w:val="00755FA5"/>
    <w:rsid w:val="007616F0"/>
    <w:rsid w:val="00784E31"/>
    <w:rsid w:val="007A4EE1"/>
    <w:rsid w:val="007C126A"/>
    <w:rsid w:val="007C5734"/>
    <w:rsid w:val="007E0262"/>
    <w:rsid w:val="007E1C9E"/>
    <w:rsid w:val="008005DB"/>
    <w:rsid w:val="00814A61"/>
    <w:rsid w:val="00815C65"/>
    <w:rsid w:val="00835CBE"/>
    <w:rsid w:val="008362DB"/>
    <w:rsid w:val="00856AAE"/>
    <w:rsid w:val="0086709E"/>
    <w:rsid w:val="008715BF"/>
    <w:rsid w:val="00885498"/>
    <w:rsid w:val="00892158"/>
    <w:rsid w:val="008B73D4"/>
    <w:rsid w:val="008C239F"/>
    <w:rsid w:val="008C6F10"/>
    <w:rsid w:val="00904425"/>
    <w:rsid w:val="00937A4F"/>
    <w:rsid w:val="00951301"/>
    <w:rsid w:val="009569C7"/>
    <w:rsid w:val="00957247"/>
    <w:rsid w:val="009577AE"/>
    <w:rsid w:val="00974629"/>
    <w:rsid w:val="009944DC"/>
    <w:rsid w:val="009B1F02"/>
    <w:rsid w:val="009C30D6"/>
    <w:rsid w:val="009E2801"/>
    <w:rsid w:val="009E3F67"/>
    <w:rsid w:val="00A049FD"/>
    <w:rsid w:val="00A05F00"/>
    <w:rsid w:val="00A34192"/>
    <w:rsid w:val="00A342BE"/>
    <w:rsid w:val="00A416CD"/>
    <w:rsid w:val="00A621EB"/>
    <w:rsid w:val="00AA6E7B"/>
    <w:rsid w:val="00AA7865"/>
    <w:rsid w:val="00AC3AF8"/>
    <w:rsid w:val="00AF418F"/>
    <w:rsid w:val="00B076E2"/>
    <w:rsid w:val="00B32F6A"/>
    <w:rsid w:val="00B3401D"/>
    <w:rsid w:val="00B344BF"/>
    <w:rsid w:val="00B36970"/>
    <w:rsid w:val="00B60CAE"/>
    <w:rsid w:val="00B6188D"/>
    <w:rsid w:val="00B66D18"/>
    <w:rsid w:val="00B95D9C"/>
    <w:rsid w:val="00BA63B5"/>
    <w:rsid w:val="00BB0EAB"/>
    <w:rsid w:val="00BC36FC"/>
    <w:rsid w:val="00BF5AF8"/>
    <w:rsid w:val="00BF7562"/>
    <w:rsid w:val="00C30672"/>
    <w:rsid w:val="00C328A1"/>
    <w:rsid w:val="00C34CE3"/>
    <w:rsid w:val="00C56BB8"/>
    <w:rsid w:val="00C57693"/>
    <w:rsid w:val="00C6038C"/>
    <w:rsid w:val="00C60990"/>
    <w:rsid w:val="00CC63C0"/>
    <w:rsid w:val="00CD2ABC"/>
    <w:rsid w:val="00CF6B99"/>
    <w:rsid w:val="00D0168E"/>
    <w:rsid w:val="00D16F7B"/>
    <w:rsid w:val="00D41322"/>
    <w:rsid w:val="00D514C0"/>
    <w:rsid w:val="00D5754F"/>
    <w:rsid w:val="00D70374"/>
    <w:rsid w:val="00D900F0"/>
    <w:rsid w:val="00DA0B4E"/>
    <w:rsid w:val="00DA1D8A"/>
    <w:rsid w:val="00DB095A"/>
    <w:rsid w:val="00DD3F4A"/>
    <w:rsid w:val="00DD483D"/>
    <w:rsid w:val="00DD7E7E"/>
    <w:rsid w:val="00DF7271"/>
    <w:rsid w:val="00E07A81"/>
    <w:rsid w:val="00E13B50"/>
    <w:rsid w:val="00E2283F"/>
    <w:rsid w:val="00E406D7"/>
    <w:rsid w:val="00E477F6"/>
    <w:rsid w:val="00E74397"/>
    <w:rsid w:val="00EA1139"/>
    <w:rsid w:val="00EA45ED"/>
    <w:rsid w:val="00EB5783"/>
    <w:rsid w:val="00EE1A2D"/>
    <w:rsid w:val="00EE6D4E"/>
    <w:rsid w:val="00F22103"/>
    <w:rsid w:val="00F3135E"/>
    <w:rsid w:val="00F53F29"/>
    <w:rsid w:val="00F66F97"/>
    <w:rsid w:val="00F9787B"/>
    <w:rsid w:val="00FC7803"/>
    <w:rsid w:val="00FD5855"/>
    <w:rsid w:val="02B94CD3"/>
    <w:rsid w:val="145200D3"/>
    <w:rsid w:val="682E7ED8"/>
    <w:rsid w:val="7327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7FEC2C"/>
  <w15:docId w15:val="{A429956C-6B50-41FB-A2FB-38AA39FB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/>
    </w:pPr>
    <w:rPr>
      <w:rFonts w:ascii="Arial Unicode MS" w:eastAsia="Tahoma" w:hAnsi="Arial Unicode MS" w:cs="Arial Unicode MS" w:hint="eastAsia"/>
      <w:color w:val="000000"/>
      <w:sz w:val="22"/>
      <w:szCs w:val="22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/>
    </w:pPr>
    <w:rPr>
      <w:sz w:val="18"/>
      <w:szCs w:val="18"/>
    </w:rPr>
  </w:style>
  <w:style w:type="character" w:styleId="a9">
    <w:name w:val="Hyperlink"/>
    <w:qFormat/>
    <w:rPr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b">
    <w:name w:val="页眉与页脚"/>
    <w:qFormat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styleId="ac">
    <w:name w:val="List Paragraph"/>
    <w:qFormat/>
    <w:pPr>
      <w:widowControl w:val="0"/>
      <w:ind w:firstLine="42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Arial Unicode MS" w:eastAsia="Tahoma" w:hAnsi="Arial Unicode MS" w:cs="Arial Unicode MS"/>
      <w:color w:val="000000"/>
      <w:sz w:val="22"/>
      <w:szCs w:val="22"/>
      <w:u w:color="000000"/>
      <w:lang w:eastAsia="en-US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Arial Unicode MS" w:eastAsia="Tahoma" w:hAnsi="Arial Unicode MS" w:cs="Arial Unicode MS"/>
      <w:b/>
      <w:bCs/>
      <w:color w:val="000000"/>
      <w:sz w:val="22"/>
      <w:szCs w:val="22"/>
      <w:u w:color="000000"/>
      <w:lang w:eastAsia="en-US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Arial Unicode MS" w:eastAsia="Tahoma" w:hAnsi="Arial Unicode MS" w:cs="Arial Unicode MS"/>
      <w:color w:val="000000"/>
      <w:sz w:val="18"/>
      <w:szCs w:val="18"/>
      <w:u w:color="000000"/>
      <w:lang w:eastAsia="en-US"/>
    </w:rPr>
  </w:style>
  <w:style w:type="paragraph" w:styleId="ad">
    <w:name w:val="header"/>
    <w:basedOn w:val="a"/>
    <w:link w:val="ae"/>
    <w:uiPriority w:val="99"/>
    <w:unhideWhenUsed/>
    <w:rsid w:val="00D575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D5754F"/>
    <w:rPr>
      <w:rFonts w:ascii="Arial Unicode MS" w:eastAsia="Tahoma" w:hAnsi="Arial Unicode MS" w:cs="Arial Unicode MS"/>
      <w:color w:val="000000"/>
      <w:sz w:val="18"/>
      <w:szCs w:val="18"/>
      <w:u w:color="000000"/>
      <w:lang w:eastAsia="en-US"/>
    </w:rPr>
  </w:style>
  <w:style w:type="paragraph" w:styleId="af">
    <w:name w:val="footer"/>
    <w:basedOn w:val="a"/>
    <w:link w:val="af0"/>
    <w:uiPriority w:val="99"/>
    <w:unhideWhenUsed/>
    <w:rsid w:val="00D5754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D5754F"/>
    <w:rPr>
      <w:rFonts w:ascii="Arial Unicode MS" w:eastAsia="Tahoma" w:hAnsi="Arial Unicode MS" w:cs="Arial Unicode MS"/>
      <w:color w:val="000000"/>
      <w:sz w:val="18"/>
      <w:szCs w:val="18"/>
      <w:u w:color="000000"/>
      <w:lang w:eastAsia="en-US"/>
    </w:rPr>
  </w:style>
  <w:style w:type="character" w:customStyle="1" w:styleId="1">
    <w:name w:val="未处理的提及1"/>
    <w:basedOn w:val="a0"/>
    <w:uiPriority w:val="99"/>
    <w:semiHidden/>
    <w:unhideWhenUsed/>
    <w:rsid w:val="00AC3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USTXUESHU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350</Words>
  <Characters>1996</Characters>
  <Application>Microsoft Office Word</Application>
  <DocSecurity>0</DocSecurity>
  <Lines>16</Lines>
  <Paragraphs>4</Paragraphs>
  <ScaleCrop>false</ScaleCrop>
  <Company>Microsoft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07808</cp:lastModifiedBy>
  <cp:revision>12</cp:revision>
  <cp:lastPrinted>2019-03-05T00:47:00Z</cp:lastPrinted>
  <dcterms:created xsi:type="dcterms:W3CDTF">2019-03-07T03:02:00Z</dcterms:created>
  <dcterms:modified xsi:type="dcterms:W3CDTF">2019-03-15T06:46:00Z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